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20"/>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 xml:space="preserve">MUZEJ   GRADA NOVOG SADA,  PETROVARADIN </w:t>
      </w:r>
    </w:p>
    <w:p w:rsidR="001F55F6" w:rsidRPr="001F55F6" w:rsidP="001F55F6" w14:paraId="12B24AF9" w14:textId="4311BAEB">
      <w:pPr>
        <w:spacing w:before="120" w:after="120"/>
        <w:rPr>
          <w:rFonts w:cstheme="minorHAnsi"/>
          <w:b/>
          <w:sz w:val="20"/>
          <w:szCs w:val="20"/>
        </w:rPr>
      </w:pPr>
      <w:r>
        <w:rPr>
          <w:rFonts w:cstheme="minorHAnsi"/>
          <w:b/>
          <w:sz w:val="20"/>
          <w:szCs w:val="20"/>
        </w:rPr>
        <w:t>PIB:</w:t>
      </w:r>
      <w:r w:rsidRPr="00191039" w:rsidR="002A1737">
        <w:rPr>
          <w:rFonts w:cstheme="minorHAnsi"/>
          <w:sz w:val="20"/>
          <w:szCs w:val="20"/>
        </w:rPr>
        <w:t> </w:t>
      </w:r>
      <w:r w:rsidRPr="00601DBA" w:rsidR="00601DBA">
        <w:rPr>
          <w:b/>
          <w:bCs/>
          <w:lang w:val="hr-HR"/>
        </w:rPr>
        <w:t xml:space="preserve"> </w:t>
      </w:r>
      <w:bookmarkStart w:id="3" w:name="21"/>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100450673</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2"/>
      <w:bookmarkEnd w:id="4"/>
      <w:r>
        <w:rPr>
          <w:rStyle w:val="DefaultParagraphFont"/>
          <w:rFonts w:ascii="Calibri" w:eastAsia="Calibri" w:hAnsi="Calibri" w:cs="Calibri"/>
          <w:b/>
          <w:i w:val="0"/>
          <w:caps w:val="0"/>
          <w:smallCaps w:val="0"/>
          <w:strike w:val="0"/>
          <w:noProof/>
          <w:color w:val="auto"/>
          <w:w w:val="100"/>
          <w:sz w:val="20"/>
          <w:szCs w:val="20"/>
          <w:highlight w:val="none"/>
        </w:rPr>
        <w:t>TVRĐAVA 4</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3"/>
      <w:bookmarkEnd w:id="5"/>
      <w:r w:rsidRPr="001F55F6">
        <w:rPr>
          <w:rStyle w:val="DefaultParagraphFont"/>
          <w:rFonts w:ascii="Calibri" w:eastAsia="Calibri" w:hAnsi="Calibri" w:cs="Calibri"/>
          <w:b/>
          <w:i w:val="0"/>
          <w:caps w:val="0"/>
          <w:smallCaps w:val="0"/>
          <w:strike w:val="0"/>
          <w:color w:val="auto"/>
          <w:w w:val="100"/>
          <w:sz w:val="20"/>
          <w:szCs w:val="20"/>
          <w:highlight w:val="none"/>
        </w:rPr>
        <w:t>21131</w:t>
      </w:r>
      <w:r w:rsidRPr="001F55F6">
        <w:rPr>
          <w:rFonts w:cstheme="minorHAnsi"/>
          <w:b/>
          <w:sz w:val="20"/>
          <w:szCs w:val="20"/>
        </w:rPr>
        <w:t> </w:t>
      </w:r>
      <w:bookmarkStart w:id="6" w:name="24"/>
      <w:bookmarkEnd w:id="6"/>
      <w:r w:rsidRPr="001F55F6">
        <w:rPr>
          <w:rStyle w:val="DefaultParagraphFont"/>
          <w:rFonts w:ascii="Calibri" w:eastAsia="Calibri" w:hAnsi="Calibri" w:cs="Calibri"/>
          <w:b/>
          <w:i w:val="0"/>
          <w:caps w:val="0"/>
          <w:smallCaps w:val="0"/>
          <w:strike w:val="0"/>
          <w:color w:val="auto"/>
          <w:w w:val="100"/>
          <w:sz w:val="20"/>
          <w:szCs w:val="20"/>
          <w:highlight w:val="none"/>
        </w:rPr>
        <w:t>PETROVARADIN</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05.10.2024</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01-41-8/26-2024</w:t>
      </w:r>
    </w:p>
    <w:p w:rsidR="001F55F6" w:rsidRPr="00A9707B" w:rsidP="00A9707B" w14:paraId="53FD827A" w14:textId="77777777">
      <w:pPr>
        <w:spacing w:before="440" w:after="120"/>
        <w:rPr>
          <w:rFonts w:cstheme="minorHAnsi"/>
          <w:bCs/>
          <w:i/>
          <w:iCs/>
          <w:sz w:val="20"/>
          <w:szCs w:val="20"/>
          <w:lang w:val="sr-Latn-BA" w:eastAsia="lv-LV"/>
        </w:rPr>
      </w:pPr>
      <w:bookmarkStart w:id="9" w:name="7"/>
      <w:bookmarkEnd w:id="9"/>
      <w:r w:rsidRPr="00A9707B">
        <w:rPr>
          <w:rStyle w:val="DefaultParagraphFont"/>
          <w:rFonts w:ascii="Calibri" w:eastAsia="Calibri" w:hAnsi="Calibri" w:cs="Calibri"/>
          <w:b w:val="0"/>
          <w:i/>
          <w:iCs/>
          <w:caps w:val="0"/>
          <w:smallCaps w:val="0"/>
          <w:strike w:val="0"/>
          <w:noProof/>
          <w:color w:val="auto"/>
          <w:w w:val="100"/>
          <w:sz w:val="20"/>
          <w:szCs w:val="20"/>
          <w:highlight w:val="none"/>
          <w:lang w:val="sr-Latn-BA"/>
        </w:rPr>
        <w:t>Na osnovu člana 146. stav 1. Zakona o javnim nabavkama („Službeni glasnik“, broj 91/19 i 92/23), naručilac donosiodluku o dodeli ugovora članu nAGENCIJA ZA PRUŽANJE AUDIO-VIDEO USLUGA ZOOM MEDIA ZORAN OŽVAT PR, NOVI SAD, 104144462,</w:t>
      </w:r>
    </w:p>
    <w:p w:rsidRPr="00A9707B" w:rsidP="00A9707B">
      <w:pPr>
        <w:spacing w:before="440" w:after="120"/>
        <w:rPr>
          <w:rStyle w:val="DefaultParagraphFont"/>
          <w:rFonts w:ascii="Calibri" w:eastAsia="Calibri" w:hAnsi="Calibri" w:cs="Calibri"/>
          <w:b w:val="0"/>
          <w:i/>
          <w:iCs/>
          <w:caps w:val="0"/>
          <w:smallCaps w:val="0"/>
          <w:strike w:val="0"/>
          <w:noProof/>
          <w:color w:val="auto"/>
          <w:w w:val="100"/>
          <w:sz w:val="20"/>
          <w:szCs w:val="20"/>
          <w:highlight w:val="none"/>
          <w:lang w:val="sr-Latn-BA"/>
        </w:rPr>
      </w:pPr>
      <w:r w:rsidRPr="00A9707B">
        <w:rPr>
          <w:rStyle w:val="DefaultParagraphFont"/>
          <w:rFonts w:ascii="Calibri" w:eastAsia="Calibri" w:hAnsi="Calibri" w:cs="Calibri"/>
          <w:b w:val="0"/>
          <w:i/>
          <w:iCs/>
          <w:caps w:val="0"/>
          <w:smallCaps w:val="0"/>
          <w:strike w:val="0"/>
          <w:noProof/>
          <w:color w:val="auto"/>
          <w:w w:val="100"/>
          <w:sz w:val="20"/>
          <w:szCs w:val="20"/>
          <w:highlight w:val="none"/>
          <w:lang w:val="sr-Latn-BA"/>
        </w:rPr>
        <w:t>57205474, Rumenački put 28, 21000, NOVI SAD</w:t>
      </w:r>
    </w:p>
    <w:p w:rsidRPr="00A9707B" w:rsidP="00A9707B">
      <w:pPr>
        <w:spacing w:before="440" w:after="120"/>
        <w:rPr>
          <w:rStyle w:val="DefaultParagraphFont"/>
          <w:rFonts w:ascii="Calibri" w:eastAsia="Calibri" w:hAnsi="Calibri" w:cs="Calibri"/>
          <w:b w:val="0"/>
          <w:i/>
          <w:iCs/>
          <w:caps w:val="0"/>
          <w:smallCaps w:val="0"/>
          <w:strike w:val="0"/>
          <w:noProof/>
          <w:color w:val="auto"/>
          <w:w w:val="100"/>
          <w:sz w:val="20"/>
          <w:szCs w:val="20"/>
          <w:highlight w:val="none"/>
          <w:lang w:val="sr-Latn-BA"/>
        </w:rPr>
      </w:pP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ODLUKA O DODELI UGOVORA</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 xml:space="preserve">MUZEJ   GRADA NOVOG SADA,  PETROVARADIN </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3" w:name="19"/>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41-8/2024</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4" w:name="18"/>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Maping (obeležavanje jubileja MGNS)</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5" w:name="17"/>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2024/S F02-0035237</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9" w:name="2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30234500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Maping (obeležavanje jubileja MGNS)</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21" w:name="2"/>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1.666.667,00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2" w:name="3"/>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AGENCIJA ZA PRUŽANJE AUDIO-VIDEO USLUGA ZOOM MEDIA ZORAN OŽVAT PR, NOVI SAD</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104144462</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Rumenački put 28</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NOVI SAD</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21000</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30" w:name="4"/>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1.649.700,00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31" w:name="5"/>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1.979.640,00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2" w:name="6"/>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Maping (obeležavanje jubileja MGNS)</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41-8/2024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01-41-8/4-2024, 16.09.2024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1.666.667,00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30234500-Memorijski medijumi</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2024/S F02-0035237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24.09.2024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03.10.2024 11:00:00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Jasna Đermanov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 Atila Hornok</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Laura Kljajić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Vesna Nedeljković Angelovski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Sandra Molnar</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Veljko  Novaković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Maping (obeležavanje jubileja MGNS)</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70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izvođenja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Način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03.10.2024 11:00:00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03.10.2024 11:00:43</w:t>
                  </w:r>
                </w:p>
              </w:tc>
            </w:tr>
            <w:tr>
              <w:tblPrEx>
                <w:tblInd w:w="39" w:type="dxa"/>
                <w:tblCellMar>
                  <w:left w:w="0" w:type="dxa"/>
                  <w:right w:w="0" w:type="dxa"/>
                </w:tblCellMar>
                <w:tblLook w:val="0000"/>
              </w:tblPrEx>
              <w:trPr>
                <w:trHeight w:val="242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AGENCIJA ZA PRUŽANJE AUDIO-VIDEO USLUGA ZOOM MEDIA ZORAN OŽVAT PR, NOVI SAD, Rumenački put 28, 21000,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30-09/2024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3.10.2024. 09:02:57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3.10.2024. 09:25:00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sredstvo finansijskog obezbeđenja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79"/>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[zakonom predviđenom roku 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[radni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AGENCIJA ZA PRUŽANJE AUDIO-VIDEO USLUGA ZOOM MEDIA ZORAN OŽVAT PR,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1649700.00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1979640.00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dana izdavanja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36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85"/>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[zakonom predviđenom roku 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[radni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AGENCIJA ZA PRUŽANJE AUDIO-VIDEO USLUGA ZOOM MEDIA ZORAN OŽVAT PR,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1649700.00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1979640.00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dana izdavanja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3685"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AGENCIJA ZA PRUŽANJE AUDIO-VIDEO USLUGA ZOOM MEDIA ZORAN OŽVAT PR, NOVI SAD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1.649.700,00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1.979.640,00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AGENCIJA ZA PRUŽANJE AUDIO-VIDEO USLUGA ZOOM MEDIA ZORAN OŽVAT PR, NOVI SAD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1.649.700,00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Komisija konstatuje da je ponuđač  AGENCIJA ZA PRUŽANJE AUDIO-VIDEO USLUGA ZOOM MEDIA ZORAN OŽVAT PR, NOVI SAD, 104144462,</w:t>
                                <w:br/>
                                <w:t>57205474, Rumenački put 28, 21000, NOVI SAD, dostavio sve trašene dokumente konkursnom dokumentacijom i da su ispravni i prihvatljivi. Kako je vrednost manja od 5.000.000,00 miliona dinara komisija nije tražila dostavu dokaza  za kvantitativni izbor ponuđača jer nije ni zadala dodatne uslove, stoga predlaže direktoru da ugovor dodeli ponuđaču  AGENCIJA ZA PRUŽANJE AUDIO-VIDEO USLUGA ZOOM MEDIA ZORAN OŽVAT PR, NOVI SAD, 104144462,</w:t>
                                <w:br/>
                                <w:t>57205474, Rumenački put 28, 21000, NOVI SAD</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A37023" w:rsidP="008C5725" w14:paraId="08E7E656" w14:textId="7CE6A5F4">
      <w:pPr>
        <w:rPr>
          <w:sz w:val="20"/>
          <w:szCs w:val="20"/>
        </w:rPr>
      </w:pPr>
      <w:bookmarkStart w:id="33" w:name="_Hlk32839505_0"/>
      <w:bookmarkStart w:id="34" w:name="1_0"/>
      <w:bookmarkEnd w:id="34"/>
      <w:r w:rsidRPr="00A37023">
        <w:rPr>
          <w:rFonts w:ascii="Calibri" w:eastAsia="Calibri" w:hAnsi="Calibri" w:cs="Calibri"/>
          <w:sz w:val="20"/>
          <w:szCs w:val="20"/>
        </w:rPr>
        <w:t>Komisija konstatuje da je ponuđač  AGENCIJA ZA PRUŽANJE AUDIO-VIDEO USLUGA ZOOM MEDIA ZORAN OŽVAT PR, NOVI SAD, 104144462,</w:t>
      </w:r>
    </w:p>
    <w:p w:rsidRPr="00A37023" w:rsidP="008C5725">
      <w:pPr>
        <w:rPr>
          <w:rFonts w:ascii="Calibri" w:eastAsia="Calibri" w:hAnsi="Calibri" w:cs="Calibri"/>
          <w:sz w:val="20"/>
          <w:szCs w:val="20"/>
        </w:rPr>
      </w:pPr>
      <w:r w:rsidRPr="00A37023">
        <w:rPr>
          <w:rFonts w:ascii="Calibri" w:eastAsia="Calibri" w:hAnsi="Calibri" w:cs="Calibri"/>
          <w:sz w:val="20"/>
          <w:szCs w:val="20"/>
        </w:rPr>
        <w:t>57205474, Rumenački put 28, 21000, NOVI SAD, dostavio sve trašene dokumente konkursnom dokumentacijom i da su ispravni i prihvatljivi. Kako je vrednost manja od 5.000.000,00 miliona dinara komisija nije tražila dostavu dokaza  za kvantitativni izbor ponuđača jer nije ni zadala dodatne uslove, stoga predlaže direktoru da ugovor dodeli ponuđaču  AGENCIJA ZA PRUŽANJE AUDIO-VIDEO USLUGA ZOOM MEDIA ZORAN OŽVAT PR, NOVI SAD, 104144462,</w:t>
      </w:r>
    </w:p>
    <w:p w:rsidRPr="00A37023" w:rsidP="008C5725">
      <w:pPr>
        <w:rPr>
          <w:rFonts w:ascii="Calibri" w:eastAsia="Calibri" w:hAnsi="Calibri" w:cs="Calibri"/>
          <w:sz w:val="20"/>
          <w:szCs w:val="20"/>
        </w:rPr>
      </w:pPr>
      <w:r w:rsidRPr="00A37023">
        <w:rPr>
          <w:rFonts w:ascii="Calibri" w:eastAsia="Calibri" w:hAnsi="Calibri" w:cs="Calibri"/>
          <w:sz w:val="20"/>
          <w:szCs w:val="20"/>
        </w:rPr>
        <w:t>57205474, Rumenački put 28, 21000, NOVI SAD</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19BFD4A5" w14:textId="77777777" w:rsidTr="006E13B1">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6E13B1" w:rsidRPr="00F61EC9" w:rsidP="006E13B1" w14:paraId="35A89C06" w14:textId="7A8528B3">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Uputstvo o prav</w:t>
            </w:r>
            <w:r>
              <w:rPr>
                <w:rFonts w:eastAsia="Times New Roman" w:cstheme="minorHAnsi"/>
                <w:b/>
                <w:noProof/>
                <w:sz w:val="24"/>
                <w:szCs w:val="24"/>
                <w:lang w:val="sr-Latn-BA" w:eastAsia="lv-LV"/>
              </w:rPr>
              <w:t>n</w:t>
            </w:r>
            <w:r w:rsidRPr="00F61EC9">
              <w:rPr>
                <w:rFonts w:eastAsia="Times New Roman" w:cstheme="minorHAnsi"/>
                <w:b/>
                <w:noProof/>
                <w:sz w:val="24"/>
                <w:szCs w:val="24"/>
                <w:lang w:val="sr-Latn-BA" w:eastAsia="lv-LV"/>
              </w:rPr>
              <w:t>om sredstvu:</w:t>
            </w:r>
          </w:p>
          <w:p w:rsidR="006E13B1" w:rsidRPr="006E13B1" w:rsidP="006E13B1" w14:paraId="196D8624" w14:textId="1E8B9B8C">
            <w:pPr>
              <w:spacing w:before="120" w:after="120"/>
              <w:rPr>
                <w:rFonts w:ascii="Calibri" w:eastAsia="Calibri" w:hAnsi="Calibri" w:cs="Calibri"/>
                <w:sz w:val="20"/>
                <w:szCs w:val="20"/>
                <w:lang w:val="sr-Latn-BA"/>
              </w:rPr>
            </w:pPr>
            <w:r>
              <w:rPr>
                <w:rFonts w:cstheme="minorHAnsi"/>
                <w:sz w:val="20"/>
                <w:szCs w:val="20"/>
              </w:rPr>
              <w:t xml:space="preserve"> </w:t>
            </w:r>
            <w:bookmarkStart w:id="35" w:name="2_0"/>
            <w:bookmarkEnd w:id="35"/>
            <w:r w:rsidRPr="006E13B1">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 i 92/23 )</w:t>
            </w:r>
          </w:p>
        </w:tc>
      </w:tr>
    </w:tbl>
    <w:p w:rsidR="006E13B1" w:rsidP="008C5725" w14:paraId="02195C9E" w14:textId="77777777">
      <w:pPr>
        <w:spacing w:before="120" w:after="120"/>
        <w:rPr>
          <w:rFonts w:eastAsia="Times New Roman" w:cstheme="minorHAnsi"/>
          <w:b/>
          <w:noProof/>
          <w:sz w:val="24"/>
          <w:szCs w:val="24"/>
          <w:lang w:val="sr-Latn-BA" w:eastAsia="lv-LV"/>
        </w:rPr>
      </w:pPr>
    </w:p>
    <w:p w:rsidR="006E13B1" w:rsidP="008C5725" w14:paraId="619FB1DB" w14:textId="77777777">
      <w:pPr>
        <w:spacing w:before="120" w:after="120"/>
        <w:rPr>
          <w:rFonts w:eastAsia="Times New Roman" w:cstheme="minorHAnsi"/>
          <w:b/>
          <w:noProof/>
          <w:sz w:val="24"/>
          <w:szCs w:val="24"/>
          <w:lang w:val="sr-Latn-BA" w:eastAsia="lv-LV"/>
        </w:rPr>
      </w:pPr>
    </w:p>
    <w:p w:rsidR="006E13B1" w:rsidP="008C5725" w14:paraId="60C4A8F4" w14:textId="77777777">
      <w:pPr>
        <w:spacing w:before="120" w:after="120"/>
        <w:rPr>
          <w:rFonts w:eastAsia="Times New Roman" w:cstheme="minorHAnsi"/>
          <w:b/>
          <w:noProof/>
          <w:sz w:val="24"/>
          <w:szCs w:val="24"/>
          <w:lang w:val="sr-Latn-BA" w:eastAsia="lv-LV"/>
        </w:rPr>
      </w:pPr>
      <w:bookmarkEnd w:id="33"/>
    </w:p>
    <w:sectPr w:rsidSect="00C9330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6E13B1"/>
    <w:rsid w:val="00723884"/>
    <w:rsid w:val="007500EB"/>
    <w:rsid w:val="007B33EC"/>
    <w:rsid w:val="008C5725"/>
    <w:rsid w:val="00910CBD"/>
    <w:rsid w:val="00934E20"/>
    <w:rsid w:val="00943D6F"/>
    <w:rsid w:val="00A338C8"/>
    <w:rsid w:val="00A37023"/>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