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MUZEJ   GRADA NOVOG SADA,  PETROVARADIN 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100450673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TVRĐAVA 4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21131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PETROVARADIN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10.04.2022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62-1/30-202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donosiodluku o dodeli ugovora ponuđaču JP EPS Ogranak EPS Snabdevanje, 103920327,  20053658, Makenzijeva 37/II, 11000, Beograd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MUZEJ   GRADA NOVOG SADA,  PETROVARADIN 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62-1/2022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Snabdevanje električnom energijom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F02-0009785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Snabdevanje električnom energijom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4.100.000,00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7.577.370,00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9.092.844,00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Snabdevanje električnom energijom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62-1/2022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01-62-1/2022, 16.03.2022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4.100.000,00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F02-0009785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31.03.2022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Jasna Đermano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Atila Hornok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Savo Gvozdenović, zamenik člana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Žaklina Mićić, zamenik člana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Nenad Staparski,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 Novaković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Snabdevanje električnom energijom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31.03.2022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31.03.2022 12:00:10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2460500-E.18.01-180841/1-22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30.3.2022. 09:10:49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7577370.00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9092844.00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25-og u tekućem mesecu za potrošnju iz prethodnog meseca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7577370.00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9092844.00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25-og u tekućem mesecu za potrošnju iz prethodnog meseca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7.577.370,00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9.092.844,00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7.577.370,00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 je konstatovala  daje ponuđač  dostavio  svu dokumentaciju kloja je tražena  u konkursnoj dokumentaciji i u stručnoj oceni  utvrđeno je da  je dostavljena dokumentacija ispravna  i prihvatljiva, ponuđač  je dostavio ponudu  sa većom procenjenom vrednosti  nego što  je  ispitivanjem tržišta  utvrđeno. Kako  su okolnosti  za koje  savestan naručilac  nije  mogao predvideti  a to su  porast cena  u prvom kvaratalu 2022  godine i svetska  kruza  koja je izazvana  ratnim stanjem u Ukrajini  koji  je prouzrokovao  nestašicu  energenata  u celoj   evropi. Komisija predlaže  direktoru  da  ugovor  ponuđaču JP EPS Ogranak EPS Snabdevanje, 103920327,  20053658, Makenzijeva 37/II, 11000, Beograd u vrednosti procenjene vrednosti.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 je konstatovala  daje ponuđač  dostavio  svu dokumentaciju kloja je tražena  u konkursnoj dokumentaciji i u stručnoj oceni  utvrđeno je da  je dostavljena dokumentacija ispravna  i prihvatljiva, ponuđač  je dostavio ponudu  sa većom procenjenom vrednosti  nego što  je  ispitivanjem tržišta  utvrđeno. Kako  su okolnosti  za koje  savestan naručilac  nije  mogao predvideti  a to su  porast cena  u prvom kvaratalu 2022  godine i svetska  kruza  koja je izazvana  ratnim stanjem u Ukrajini  koji  je prouzrokovao  nestašicu  energenata  u celoj   evropi. Komisija predlaže  direktoru  da  ugovor  ponuđaču JP EPS Ogranak EPS Snabdevanje, 103920327,  20053658, Makenzijeva 37/II, 11000, Beograd u vrednosti procenjene vrednosti.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